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A463" w14:textId="77777777" w:rsidR="00D77BA2" w:rsidRDefault="00D77BA2" w:rsidP="00D77BA2">
      <w:pPr>
        <w:pBdr>
          <w:top w:val="single" w:sz="4" w:space="1" w:color="auto"/>
          <w:left w:val="single" w:sz="4" w:space="4" w:color="auto"/>
          <w:bottom w:val="single" w:sz="4" w:space="1" w:color="auto"/>
          <w:right w:val="single" w:sz="4" w:space="4" w:color="auto"/>
        </w:pBdr>
        <w:jc w:val="center"/>
        <w:rPr>
          <w:lang w:val="nl-BE"/>
        </w:rPr>
      </w:pPr>
      <w:r>
        <w:rPr>
          <w:lang w:val="nl-BE"/>
        </w:rPr>
        <w:t>(model)</w:t>
      </w:r>
    </w:p>
    <w:p w14:paraId="4FB1A464" w14:textId="627C60AA" w:rsidR="00D77BA2" w:rsidRPr="00D77BA2" w:rsidRDefault="00D77BA2" w:rsidP="00D77BA2">
      <w:pPr>
        <w:pBdr>
          <w:top w:val="single" w:sz="4" w:space="1" w:color="auto"/>
          <w:left w:val="single" w:sz="4" w:space="4" w:color="auto"/>
          <w:bottom w:val="single" w:sz="4" w:space="1" w:color="auto"/>
          <w:right w:val="single" w:sz="4" w:space="4" w:color="auto"/>
        </w:pBdr>
        <w:jc w:val="center"/>
        <w:rPr>
          <w:b/>
          <w:lang w:val="nl-BE"/>
        </w:rPr>
      </w:pPr>
      <w:r w:rsidRPr="00D77BA2">
        <w:rPr>
          <w:b/>
          <w:lang w:val="nl-BE"/>
        </w:rPr>
        <w:t xml:space="preserve">LIJST ATYPISCHE VERRICHTINGEN </w:t>
      </w:r>
    </w:p>
    <w:p w14:paraId="4FB1A465" w14:textId="77777777" w:rsidR="00D77BA2" w:rsidRDefault="00D77BA2" w:rsidP="00D77BA2">
      <w:pPr>
        <w:pBdr>
          <w:top w:val="single" w:sz="4" w:space="1" w:color="auto"/>
          <w:left w:val="single" w:sz="4" w:space="4" w:color="auto"/>
          <w:bottom w:val="single" w:sz="4" w:space="1" w:color="auto"/>
          <w:right w:val="single" w:sz="4" w:space="4" w:color="auto"/>
        </w:pBdr>
        <w:jc w:val="center"/>
        <w:rPr>
          <w:lang w:val="nl-BE"/>
        </w:rPr>
      </w:pPr>
      <w:r>
        <w:rPr>
          <w:lang w:val="nl-BE"/>
        </w:rPr>
        <w:t>VASTGOEDMAKELAAR</w:t>
      </w:r>
    </w:p>
    <w:p w14:paraId="4FB1A466" w14:textId="77777777" w:rsidR="00D77BA2" w:rsidRDefault="00D77BA2" w:rsidP="00D77BA2">
      <w:pPr>
        <w:rPr>
          <w:lang w:val="nl-BE"/>
        </w:rPr>
      </w:pPr>
    </w:p>
    <w:p w14:paraId="4FB1A467" w14:textId="77777777" w:rsidR="00C4419C" w:rsidRDefault="00C4419C" w:rsidP="00D77BA2">
      <w:pPr>
        <w:rPr>
          <w:lang w:val="nl-BE"/>
        </w:rPr>
      </w:pPr>
    </w:p>
    <w:p w14:paraId="4FB1A468" w14:textId="77777777" w:rsidR="00D77BA2" w:rsidRDefault="00D77BA2" w:rsidP="00C4419C">
      <w:pPr>
        <w:shd w:val="clear" w:color="auto" w:fill="D9D9D9" w:themeFill="background1" w:themeFillShade="D9"/>
        <w:jc w:val="both"/>
        <w:rPr>
          <w:lang w:val="nl-BE"/>
        </w:rPr>
      </w:pPr>
      <w:r w:rsidRPr="00C4419C">
        <w:rPr>
          <w:b/>
          <w:lang w:val="nl-BE"/>
        </w:rPr>
        <w:t>« atypische verrichting »</w:t>
      </w:r>
      <w:r>
        <w:rPr>
          <w:lang w:val="nl-BE"/>
        </w:rPr>
        <w:t xml:space="preserve"> : een verrichting die bijzonder vatbaar is voor het witwassen van geld of voor de financiering van terrorisme, met name door haar aard, de begeleidende omstandigheden, de hoedanigheid van de betrokken personen, haar ongebruikelijk karakter gelet op de activiteiten van de cliënt, of omdat zij niet lijkt te stroken met de kennis die de vastgoedmakelaar  heeft van zijn cliënt, diens beroepswerkzaamheden en risicoprofiel, en, mocht dit nodig blijke</w:t>
      </w:r>
      <w:r w:rsidR="00C4419C">
        <w:rPr>
          <w:lang w:val="nl-BE"/>
        </w:rPr>
        <w:t>n, van de herkomst van het geld.</w:t>
      </w:r>
    </w:p>
    <w:p w14:paraId="4FB1A469" w14:textId="77777777" w:rsidR="00D77BA2" w:rsidRDefault="00D77BA2" w:rsidP="00D77BA2">
      <w:pPr>
        <w:rPr>
          <w:bCs/>
          <w:lang w:val="nl-BE"/>
        </w:rPr>
      </w:pPr>
    </w:p>
    <w:p w14:paraId="0376D038" w14:textId="2C919C07" w:rsidR="000C7551" w:rsidRPr="000C7551" w:rsidRDefault="000C7551" w:rsidP="00DA5923">
      <w:pPr>
        <w:jc w:val="both"/>
        <w:rPr>
          <w:bCs/>
          <w:lang w:val="nl-BE"/>
        </w:rPr>
      </w:pPr>
      <w:r>
        <w:rPr>
          <w:bCs/>
          <w:lang w:val="nl-BE"/>
        </w:rPr>
        <w:t>De vastgoedmakelaar</w:t>
      </w:r>
      <w:r w:rsidRPr="000C7551">
        <w:rPr>
          <w:bCs/>
          <w:lang w:val="nl-BE"/>
        </w:rPr>
        <w:t xml:space="preserve"> onderzoekt met name, voor zover redelijkerwijs mogelijk, de achtergrond en het doel van alle verrichtingen die voldoen aan ten minste een van de volgende voorwaarden :</w:t>
      </w:r>
    </w:p>
    <w:p w14:paraId="001E94B8" w14:textId="77777777" w:rsidR="000C7551" w:rsidRPr="000C7551" w:rsidRDefault="000C7551" w:rsidP="000C7551">
      <w:pPr>
        <w:rPr>
          <w:bCs/>
          <w:lang w:val="nl-BE"/>
        </w:rPr>
      </w:pPr>
      <w:r w:rsidRPr="000C7551">
        <w:rPr>
          <w:bCs/>
          <w:lang w:val="nl-BE"/>
        </w:rPr>
        <w:t>1° zij zijn complex;</w:t>
      </w:r>
    </w:p>
    <w:p w14:paraId="303BF5F1" w14:textId="77777777" w:rsidR="000C7551" w:rsidRPr="000C7551" w:rsidRDefault="000C7551" w:rsidP="000C7551">
      <w:pPr>
        <w:rPr>
          <w:bCs/>
          <w:lang w:val="nl-BE"/>
        </w:rPr>
      </w:pPr>
      <w:r w:rsidRPr="000C7551">
        <w:rPr>
          <w:bCs/>
          <w:lang w:val="nl-BE"/>
        </w:rPr>
        <w:t>2° zij zijn ongebruikelijk groot;</w:t>
      </w:r>
    </w:p>
    <w:p w14:paraId="0756E0A5" w14:textId="77777777" w:rsidR="000C7551" w:rsidRPr="000C7551" w:rsidRDefault="000C7551" w:rsidP="000C7551">
      <w:pPr>
        <w:rPr>
          <w:bCs/>
          <w:lang w:val="nl-BE"/>
        </w:rPr>
      </w:pPr>
      <w:r w:rsidRPr="000C7551">
        <w:rPr>
          <w:bCs/>
          <w:lang w:val="nl-BE"/>
        </w:rPr>
        <w:t>3° zij vertonen een ongebruikelijk patroon; en/of</w:t>
      </w:r>
    </w:p>
    <w:p w14:paraId="4FB1A46A" w14:textId="691B87D1" w:rsidR="00D77BA2" w:rsidRDefault="000C7551" w:rsidP="000C7551">
      <w:pPr>
        <w:rPr>
          <w:bCs/>
          <w:lang w:val="nl-BE"/>
        </w:rPr>
      </w:pPr>
      <w:r w:rsidRPr="000C7551">
        <w:rPr>
          <w:bCs/>
          <w:lang w:val="nl-BE"/>
        </w:rPr>
        <w:t>4° zij hebben geen duidelijk economisch of rechtmatig doel.</w:t>
      </w:r>
    </w:p>
    <w:p w14:paraId="60363D82" w14:textId="77777777" w:rsidR="000C7551" w:rsidRPr="00D77BA2" w:rsidRDefault="000C7551" w:rsidP="000C7551">
      <w:pPr>
        <w:rPr>
          <w:bCs/>
          <w:lang w:val="nl-BE"/>
        </w:rPr>
      </w:pPr>
    </w:p>
    <w:p w14:paraId="4FB1A46B" w14:textId="77777777" w:rsidR="00D77BA2" w:rsidRPr="00D77BA2" w:rsidRDefault="00D77BA2" w:rsidP="00D77BA2">
      <w:pPr>
        <w:rPr>
          <w:b/>
          <w:bCs/>
          <w:lang w:val="nl-BE"/>
        </w:rPr>
      </w:pPr>
      <w:r w:rsidRPr="00D77BA2">
        <w:rPr>
          <w:b/>
          <w:bCs/>
          <w:lang w:val="nl-BE"/>
        </w:rPr>
        <w:t xml:space="preserve">Als atypische verrichtingen moeten onder andere worden beschouwd : </w:t>
      </w:r>
    </w:p>
    <w:p w14:paraId="4FB1A46C" w14:textId="152314D5" w:rsidR="00D77BA2" w:rsidRDefault="00D77BA2" w:rsidP="00D77BA2">
      <w:pPr>
        <w:rPr>
          <w:bCs/>
          <w:lang w:val="nl-BE"/>
        </w:rPr>
      </w:pPr>
    </w:p>
    <w:p w14:paraId="7DE2FD00" w14:textId="0810F019" w:rsidR="00BF7F20" w:rsidRDefault="00BF7F20" w:rsidP="00D77BA2">
      <w:pPr>
        <w:rPr>
          <w:bCs/>
          <w:lang w:val="nl-BE"/>
        </w:rPr>
      </w:pPr>
    </w:p>
    <w:p w14:paraId="3B174219" w14:textId="77777777" w:rsidR="00BF7F20" w:rsidRPr="00CA1CCB" w:rsidRDefault="00BF7F20" w:rsidP="00BF7F20">
      <w:pPr>
        <w:pStyle w:val="Lijstalinea"/>
        <w:numPr>
          <w:ilvl w:val="0"/>
          <w:numId w:val="3"/>
        </w:numPr>
        <w:rPr>
          <w:bCs/>
          <w:lang w:val="nl-BE"/>
        </w:rPr>
      </w:pPr>
      <w:bookmarkStart w:id="0" w:name="_Hlk104972309"/>
      <w:r>
        <w:t xml:space="preserve">de risicofactoren bedoeld in bijlage III van de wet; </w:t>
      </w:r>
    </w:p>
    <w:p w14:paraId="61FE535A" w14:textId="77777777" w:rsidR="00BF7F20" w:rsidRPr="00CA1CCB" w:rsidRDefault="00BF7F20" w:rsidP="00BF7F20">
      <w:pPr>
        <w:pStyle w:val="Lijstalinea"/>
        <w:numPr>
          <w:ilvl w:val="0"/>
          <w:numId w:val="3"/>
        </w:numPr>
        <w:rPr>
          <w:bCs/>
          <w:lang w:val="nl-BE"/>
        </w:rPr>
      </w:pPr>
      <w:r>
        <w:t xml:space="preserve">de verrichtingen met een wanverhouding tussen de uitgevoerde vastgoedtransactie en de sociaaleconomische situatie van de cliënt; </w:t>
      </w:r>
    </w:p>
    <w:p w14:paraId="0A6B910D" w14:textId="62425A69" w:rsidR="00BF7F20" w:rsidRPr="00CA1CCB" w:rsidRDefault="00BF7F20" w:rsidP="00BF7F20">
      <w:pPr>
        <w:pStyle w:val="Lijstalinea"/>
        <w:numPr>
          <w:ilvl w:val="0"/>
          <w:numId w:val="3"/>
        </w:numPr>
        <w:rPr>
          <w:bCs/>
          <w:lang w:val="nl-BE"/>
        </w:rPr>
      </w:pPr>
      <w:r>
        <w:t xml:space="preserve">de betalingen in naam van de cliënt op de rekening van een vastgoedmakelaar vanuit een financiële instelling gevestigd in een land of een gebied dat door de FATF wordt gekwalificeerd als een land of een gebied dat niet aan de witwasbestrijding meewerkt, of ten aanzien waarvan de FATF tegenmaatregelen of een verhoogde waakzaamheid aanbeveelt (zie hiervoor </w:t>
      </w:r>
      <w:r w:rsidRPr="00BF7F20">
        <w:t>https://financien.belgium.be/nl/landen-met-een-hoog-risico</w:t>
      </w:r>
      <w:r>
        <w:t xml:space="preserve">); </w:t>
      </w:r>
    </w:p>
    <w:p w14:paraId="67901739" w14:textId="5F3910D2" w:rsidR="00BF7F20" w:rsidRPr="00CA1CCB" w:rsidRDefault="00BF7F20" w:rsidP="00BF7F20">
      <w:pPr>
        <w:pStyle w:val="Lijstalinea"/>
        <w:numPr>
          <w:ilvl w:val="0"/>
          <w:numId w:val="3"/>
        </w:numPr>
        <w:rPr>
          <w:bCs/>
          <w:lang w:val="nl-BE"/>
        </w:rPr>
      </w:pPr>
      <w:r>
        <w:t xml:space="preserve">verrichtingen waarbij de cliënt de intentie heeft in contanten te betalen; </w:t>
      </w:r>
    </w:p>
    <w:p w14:paraId="36328CA3" w14:textId="53CDBAA5" w:rsidR="00BF7F20" w:rsidRPr="00CA1CCB" w:rsidRDefault="00BF7F20" w:rsidP="00BF7F20">
      <w:pPr>
        <w:pStyle w:val="Lijstalinea"/>
        <w:numPr>
          <w:ilvl w:val="0"/>
          <w:numId w:val="3"/>
        </w:numPr>
        <w:rPr>
          <w:bCs/>
          <w:lang w:val="nl-BE"/>
        </w:rPr>
      </w:pPr>
      <w:r>
        <w:t xml:space="preserve">verkoop of de aankoop van een onroerend goed tegen een veel lagere of hogere prijs dan zijn verkoopwaarde; </w:t>
      </w:r>
    </w:p>
    <w:p w14:paraId="0CD7B5BE" w14:textId="4C4A272D" w:rsidR="00BF7F20" w:rsidRPr="00BF7F20" w:rsidRDefault="00BF7F20" w:rsidP="00CA1CCB">
      <w:pPr>
        <w:pStyle w:val="Lijstalinea"/>
        <w:numPr>
          <w:ilvl w:val="0"/>
          <w:numId w:val="3"/>
        </w:numPr>
        <w:rPr>
          <w:bCs/>
          <w:lang w:val="nl-BE"/>
        </w:rPr>
      </w:pPr>
      <w:r>
        <w:t>verrichtingen met rechtspersonen waarvan het eigen vermogen lager is dan de aankoopprijs van het pand.</w:t>
      </w:r>
    </w:p>
    <w:bookmarkEnd w:id="0"/>
    <w:p w14:paraId="4FB1A47B" w14:textId="2DEB2848" w:rsidR="00D77BA2" w:rsidRPr="0018109D" w:rsidRDefault="00C4419C" w:rsidP="00DA5923">
      <w:pPr>
        <w:pStyle w:val="Lijstalinea"/>
        <w:numPr>
          <w:ilvl w:val="0"/>
          <w:numId w:val="3"/>
        </w:numPr>
        <w:rPr>
          <w:b/>
          <w:bCs/>
          <w:color w:val="1F497D"/>
          <w:u w:val="single"/>
          <w:lang w:val="nl-BE"/>
        </w:rPr>
      </w:pPr>
      <w:r w:rsidRPr="0018109D">
        <w:rPr>
          <w:bCs/>
          <w:lang w:val="nl-BE"/>
        </w:rPr>
        <w:t xml:space="preserve">(BIV-leden kunnen deze lijst </w:t>
      </w:r>
      <w:r w:rsidR="005C7077" w:rsidRPr="0018109D">
        <w:rPr>
          <w:bCs/>
          <w:lang w:val="nl-BE"/>
        </w:rPr>
        <w:t>zelf verder aanvullen)</w:t>
      </w:r>
    </w:p>
    <w:p w14:paraId="4FB1A47C" w14:textId="77777777" w:rsidR="00D77BA2" w:rsidRDefault="00D77BA2" w:rsidP="00D77BA2">
      <w:pPr>
        <w:rPr>
          <w:b/>
          <w:bCs/>
          <w:color w:val="1F497D"/>
          <w:u w:val="single"/>
          <w:lang w:val="nl-BE"/>
        </w:rPr>
      </w:pPr>
    </w:p>
    <w:p w14:paraId="4FB1A47D" w14:textId="77777777" w:rsidR="00D77BA2" w:rsidRDefault="00D77BA2" w:rsidP="00D77BA2">
      <w:pPr>
        <w:rPr>
          <w:b/>
          <w:bCs/>
          <w:color w:val="1F497D"/>
          <w:u w:val="single"/>
          <w:lang w:val="nl-BE"/>
        </w:rPr>
      </w:pPr>
    </w:p>
    <w:p w14:paraId="4FB1A47E" w14:textId="77777777" w:rsidR="00D77BA2" w:rsidRDefault="00D77BA2" w:rsidP="00D77BA2">
      <w:pPr>
        <w:rPr>
          <w:b/>
          <w:bCs/>
          <w:color w:val="1F497D"/>
          <w:u w:val="single"/>
          <w:lang w:val="nl-BE"/>
        </w:rPr>
      </w:pPr>
    </w:p>
    <w:p w14:paraId="4FB1A47F" w14:textId="77777777" w:rsidR="00D0055E" w:rsidRPr="00D0055E" w:rsidRDefault="00D0055E" w:rsidP="00D0055E">
      <w:pPr>
        <w:rPr>
          <w:iCs/>
          <w:lang w:val="nl-BE"/>
        </w:rPr>
      </w:pPr>
    </w:p>
    <w:p w14:paraId="4FB1A480" w14:textId="77777777" w:rsidR="00D77BA2" w:rsidRDefault="00D77BA2" w:rsidP="00D77BA2">
      <w:pPr>
        <w:rPr>
          <w:color w:val="1F497D"/>
          <w:lang w:val="nl-BE"/>
        </w:rPr>
      </w:pPr>
    </w:p>
    <w:p w14:paraId="4FB1A481" w14:textId="77777777" w:rsidR="00D77BA2" w:rsidRDefault="00D77BA2" w:rsidP="00D77BA2">
      <w:pPr>
        <w:rPr>
          <w:color w:val="1F497D"/>
          <w:lang w:val="nl-BE"/>
        </w:rPr>
      </w:pPr>
    </w:p>
    <w:p w14:paraId="4FB1A482" w14:textId="77777777" w:rsidR="00D77BA2" w:rsidRDefault="00D77BA2" w:rsidP="00D77BA2">
      <w:pPr>
        <w:rPr>
          <w:color w:val="1F497D"/>
          <w:lang w:val="nl-BE"/>
        </w:rPr>
      </w:pPr>
    </w:p>
    <w:p w14:paraId="4FB1A483" w14:textId="77777777" w:rsidR="00D77BA2" w:rsidRDefault="00D77BA2" w:rsidP="00D77BA2">
      <w:pPr>
        <w:rPr>
          <w:color w:val="1F497D"/>
          <w:lang w:val="nl-BE"/>
        </w:rPr>
      </w:pPr>
    </w:p>
    <w:p w14:paraId="4FB1A484" w14:textId="77777777" w:rsidR="006E1A75" w:rsidRPr="00D77BA2" w:rsidRDefault="006E1A75">
      <w:pPr>
        <w:rPr>
          <w:lang w:val="nl-BE"/>
        </w:rPr>
      </w:pPr>
    </w:p>
    <w:sectPr w:rsidR="006E1A75" w:rsidRPr="00D77BA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A487" w14:textId="77777777" w:rsidR="00C34B0B" w:rsidRDefault="00C34B0B" w:rsidP="00C34B0B">
      <w:r>
        <w:separator/>
      </w:r>
    </w:p>
  </w:endnote>
  <w:endnote w:type="continuationSeparator" w:id="0">
    <w:p w14:paraId="4FB1A488" w14:textId="77777777" w:rsidR="00C34B0B" w:rsidRDefault="00C34B0B" w:rsidP="00C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A489" w14:textId="45ABBDFA" w:rsidR="00C34B0B" w:rsidRDefault="00C34B0B">
    <w:pPr>
      <w:pStyle w:val="Voettekst"/>
    </w:pPr>
    <w:proofErr w:type="spellStart"/>
    <w:r>
      <w:t>v.</w:t>
    </w:r>
    <w:r w:rsidR="00A870D9">
      <w:t>juli</w:t>
    </w:r>
    <w:proofErr w:type="spellEnd"/>
    <w:r w:rsidR="00A870D9">
      <w:t xml:space="preserve"> 2022</w:t>
    </w:r>
  </w:p>
  <w:p w14:paraId="4FB1A48A" w14:textId="77777777" w:rsidR="00C34B0B" w:rsidRDefault="00C34B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A485" w14:textId="77777777" w:rsidR="00C34B0B" w:rsidRDefault="00C34B0B" w:rsidP="00C34B0B">
      <w:r>
        <w:separator/>
      </w:r>
    </w:p>
  </w:footnote>
  <w:footnote w:type="continuationSeparator" w:id="0">
    <w:p w14:paraId="4FB1A486" w14:textId="77777777" w:rsidR="00C34B0B" w:rsidRDefault="00C34B0B" w:rsidP="00C34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DAF"/>
    <w:multiLevelType w:val="hybridMultilevel"/>
    <w:tmpl w:val="FC6C74A6"/>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 w15:restartNumberingAfterBreak="0">
    <w:nsid w:val="2DF37C56"/>
    <w:multiLevelType w:val="hybridMultilevel"/>
    <w:tmpl w:val="6024CD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2A0584"/>
    <w:multiLevelType w:val="hybridMultilevel"/>
    <w:tmpl w:val="6D58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DE68C2"/>
    <w:multiLevelType w:val="hybridMultilevel"/>
    <w:tmpl w:val="3C5AA292"/>
    <w:lvl w:ilvl="0" w:tplc="08FE6E70">
      <w:start w:val="2"/>
      <w:numFmt w:val="bullet"/>
      <w:lvlText w:val=""/>
      <w:lvlJc w:val="left"/>
      <w:pPr>
        <w:ind w:left="720" w:hanging="360"/>
      </w:pPr>
      <w:rPr>
        <w:rFonts w:ascii="Wingdings" w:eastAsia="Calibri" w:hAnsi="Wingdings"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5D210FE6"/>
    <w:multiLevelType w:val="hybridMultilevel"/>
    <w:tmpl w:val="D5F6F9B8"/>
    <w:lvl w:ilvl="0" w:tplc="BFCECB1E">
      <w:start w:val="2"/>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BA2"/>
    <w:rsid w:val="000811C4"/>
    <w:rsid w:val="000C7551"/>
    <w:rsid w:val="0018109D"/>
    <w:rsid w:val="004C5AB3"/>
    <w:rsid w:val="005C7077"/>
    <w:rsid w:val="006E1A75"/>
    <w:rsid w:val="00953EC7"/>
    <w:rsid w:val="00A064F3"/>
    <w:rsid w:val="00A870D9"/>
    <w:rsid w:val="00BB7ABA"/>
    <w:rsid w:val="00BD66ED"/>
    <w:rsid w:val="00BE7879"/>
    <w:rsid w:val="00BF7F20"/>
    <w:rsid w:val="00C34B0B"/>
    <w:rsid w:val="00C4419C"/>
    <w:rsid w:val="00CA1CCB"/>
    <w:rsid w:val="00D0055E"/>
    <w:rsid w:val="00D77BA2"/>
    <w:rsid w:val="00DA5923"/>
    <w:rsid w:val="00E557DA"/>
    <w:rsid w:val="00E822B9"/>
    <w:rsid w:val="00F4591C"/>
    <w:rsid w:val="00FD3B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A463"/>
  <w15:chartTrackingRefBased/>
  <w15:docId w15:val="{B7ACDEB2-F09B-4EDE-B5D2-0478F313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7BA2"/>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7BA2"/>
    <w:pPr>
      <w:ind w:left="720"/>
    </w:pPr>
  </w:style>
  <w:style w:type="paragraph" w:styleId="Koptekst">
    <w:name w:val="header"/>
    <w:basedOn w:val="Standaard"/>
    <w:link w:val="KoptekstChar"/>
    <w:uiPriority w:val="99"/>
    <w:unhideWhenUsed/>
    <w:rsid w:val="00C34B0B"/>
    <w:pPr>
      <w:tabs>
        <w:tab w:val="center" w:pos="4536"/>
        <w:tab w:val="right" w:pos="9072"/>
      </w:tabs>
    </w:pPr>
  </w:style>
  <w:style w:type="character" w:customStyle="1" w:styleId="KoptekstChar">
    <w:name w:val="Koptekst Char"/>
    <w:basedOn w:val="Standaardalinea-lettertype"/>
    <w:link w:val="Koptekst"/>
    <w:uiPriority w:val="99"/>
    <w:rsid w:val="00C34B0B"/>
    <w:rPr>
      <w:rFonts w:ascii="Calibri" w:hAnsi="Calibri" w:cs="Times New Roman"/>
    </w:rPr>
  </w:style>
  <w:style w:type="paragraph" w:styleId="Voettekst">
    <w:name w:val="footer"/>
    <w:basedOn w:val="Standaard"/>
    <w:link w:val="VoettekstChar"/>
    <w:uiPriority w:val="99"/>
    <w:unhideWhenUsed/>
    <w:rsid w:val="00C34B0B"/>
    <w:pPr>
      <w:tabs>
        <w:tab w:val="center" w:pos="4536"/>
        <w:tab w:val="right" w:pos="9072"/>
      </w:tabs>
    </w:pPr>
  </w:style>
  <w:style w:type="character" w:customStyle="1" w:styleId="VoettekstChar">
    <w:name w:val="Voettekst Char"/>
    <w:basedOn w:val="Standaardalinea-lettertype"/>
    <w:link w:val="Voettekst"/>
    <w:uiPriority w:val="99"/>
    <w:rsid w:val="00C34B0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C10-6ECE-4658-A0AA-C3886306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1643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Vansteene</dc:creator>
  <cp:keywords/>
  <dc:description/>
  <cp:lastModifiedBy>Yannick O</cp:lastModifiedBy>
  <cp:revision>2</cp:revision>
  <dcterms:created xsi:type="dcterms:W3CDTF">2022-07-13T14:31:00Z</dcterms:created>
  <dcterms:modified xsi:type="dcterms:W3CDTF">2022-07-13T14:31:00Z</dcterms:modified>
</cp:coreProperties>
</file>